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6442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64422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442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A64422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A64422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>издания (газеты),  учредителем (соучредителем)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442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64422"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A64422" w:rsidRPr="00A64422" w:rsidRDefault="00A64422" w:rsidP="00A64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1A4B5D" w:rsidRPr="00BF48E6" w:rsidRDefault="00A64422" w:rsidP="00A644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422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E7F" w:rsidRPr="00166670" w:rsidRDefault="00054E7F" w:rsidP="00A64422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4422" w:rsidRPr="00AA783F">
        <w:rPr>
          <w:lang w:val="ru-RU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округа, на предоставление субсидий на поддержку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lastRenderedPageBreak/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Pr="00A64422" w:rsidRDefault="009534A4" w:rsidP="00A64422">
      <w:pPr>
        <w:pStyle w:val="a4"/>
        <w:ind w:left="0" w:firstLine="709"/>
        <w:jc w:val="both"/>
        <w:rPr>
          <w:lang w:val="ru-RU"/>
        </w:rPr>
      </w:pPr>
    </w:p>
    <w:sectPr w:rsidR="009534A4" w:rsidRPr="00A64422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9534A4"/>
    <w:rsid w:val="00A64422"/>
    <w:rsid w:val="00B1167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5</cp:revision>
  <dcterms:created xsi:type="dcterms:W3CDTF">2021-05-25T07:17:00Z</dcterms:created>
  <dcterms:modified xsi:type="dcterms:W3CDTF">2021-12-23T13:07:00Z</dcterms:modified>
</cp:coreProperties>
</file>