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24" w:rsidRDefault="00600186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CC3724" w:rsidRDefault="00600186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на участие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инвестиционного проекта «Приобретение подвижного состава наземного общественного пассажирского транспорта для последующей передачи в лизинг» </w:t>
      </w:r>
    </w:p>
    <w:p w:rsidR="00CC3724" w:rsidRDefault="00CC3724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p w:rsidR="00A3573B" w:rsidRDefault="00600186" w:rsidP="00A3573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 настоящей заявкой подтверждает</w:t>
      </w:r>
      <w:r>
        <w:rPr>
          <w:rFonts w:ascii="Times New Roman" w:hAnsi="Times New Roman"/>
          <w:sz w:val="28"/>
          <w:szCs w:val="28"/>
        </w:rPr>
        <w:br/>
      </w:r>
      <w:r w:rsidR="00A3573B">
        <w:rPr>
          <w:rFonts w:ascii="Times New Roman" w:hAnsi="Times New Roman"/>
          <w:sz w:val="20"/>
          <w:szCs w:val="28"/>
        </w:rPr>
        <w:t xml:space="preserve">            (указывается наименование муниципального образования Тверской области)</w:t>
      </w:r>
    </w:p>
    <w:p w:rsidR="00CC3724" w:rsidRDefault="00600186" w:rsidP="00A35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следующие обязательные параметры участия </w:t>
      </w:r>
      <w:r>
        <w:rPr>
          <w:rFonts w:ascii="Times New Roman" w:eastAsia="Calibri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реализации инвестиционного проекта «Приобретение подвижного состава наземн</w:t>
      </w:r>
      <w:r>
        <w:rPr>
          <w:rFonts w:ascii="Times New Roman" w:hAnsi="Times New Roman" w:cs="Times New Roman"/>
          <w:sz w:val="28"/>
          <w:szCs w:val="28"/>
        </w:rPr>
        <w:t xml:space="preserve">ого общественного пассажирского транспорта для последующей передачи в лизинг»: </w:t>
      </w:r>
    </w:p>
    <w:p w:rsidR="00CC3724" w:rsidRDefault="00CC3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724" w:rsidRDefault="00600186">
      <w:pPr>
        <w:pStyle w:val="af5"/>
        <w:numPr>
          <w:ilvl w:val="0"/>
          <w:numId w:val="1"/>
        </w:numPr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Приобретение автобусов малого и (или) среднего и (или) большого                              и (или) особо большого </w:t>
      </w:r>
      <w:r>
        <w:rPr>
          <w:rFonts w:ascii="Times New Roman" w:eastAsia="Arial" w:hAnsi="Times New Roman" w:cs="Arial"/>
          <w:sz w:val="28"/>
          <w:szCs w:val="28"/>
          <w:lang w:eastAsia="ru-RU"/>
        </w:rPr>
        <w:t>класса, работающих на дизельном или газомоторном топливе.</w:t>
      </w:r>
    </w:p>
    <w:p w:rsidR="00CC3724" w:rsidRDefault="00600186">
      <w:pPr>
        <w:pStyle w:val="af5"/>
        <w:numPr>
          <w:ilvl w:val="0"/>
          <w:numId w:val="1"/>
        </w:numPr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>П</w:t>
      </w:r>
      <w:r>
        <w:rPr>
          <w:rFonts w:ascii="Times New Roman" w:eastAsia="Arial" w:hAnsi="Times New Roman" w:cs="Arial"/>
          <w:sz w:val="28"/>
          <w:szCs w:val="28"/>
          <w:lang w:eastAsia="ru-RU"/>
        </w:rPr>
        <w:t>риобретение транспортных средств, доступных для маломобильных граждан (</w:t>
      </w:r>
      <w:proofErr w:type="spellStart"/>
      <w:r>
        <w:rPr>
          <w:rFonts w:ascii="Times New Roman" w:eastAsia="Arial" w:hAnsi="Times New Roman" w:cs="Arial"/>
          <w:sz w:val="28"/>
          <w:szCs w:val="28"/>
          <w:lang w:eastAsia="ru-RU"/>
        </w:rPr>
        <w:t>низкольпольные</w:t>
      </w:r>
      <w:proofErr w:type="spellEnd"/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Arial" w:hAnsi="Times New Roman" w:cs="Arial"/>
          <w:sz w:val="28"/>
          <w:szCs w:val="28"/>
          <w:lang w:eastAsia="ru-RU"/>
        </w:rPr>
        <w:t>полунизкольпольные</w:t>
      </w:r>
      <w:proofErr w:type="spellEnd"/>
      <w:r>
        <w:rPr>
          <w:rFonts w:ascii="Times New Roman" w:eastAsia="Arial" w:hAnsi="Times New Roman" w:cs="Arial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color w:val="000000"/>
          <w:szCs w:val="28"/>
        </w:rPr>
        <w:t>*</w:t>
      </w:r>
      <w:r>
        <w:rPr>
          <w:rFonts w:ascii="Times New Roman" w:eastAsia="Arial" w:hAnsi="Times New Roman" w:cs="Arial"/>
          <w:sz w:val="28"/>
          <w:szCs w:val="28"/>
          <w:lang w:eastAsia="ru-RU"/>
        </w:rPr>
        <w:t>.</w:t>
      </w:r>
    </w:p>
    <w:p w:rsidR="00CC3724" w:rsidRDefault="00600186">
      <w:pPr>
        <w:pStyle w:val="af5"/>
        <w:numPr>
          <w:ilvl w:val="0"/>
          <w:numId w:val="1"/>
        </w:numPr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Приобретение нового подвижного состава, не бывшего ранее в эксплуатации до даты поставки по договору лизинга и произведенного на территории 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Российской Федерации.</w:t>
      </w:r>
    </w:p>
    <w:p w:rsidR="00CC3724" w:rsidRDefault="00600186">
      <w:pPr>
        <w:pStyle w:val="af5"/>
        <w:numPr>
          <w:ilvl w:val="0"/>
          <w:numId w:val="1"/>
        </w:numPr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Обеспечение эксплуатации приобретаемого подвижного состава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br/>
        <w:t>не менее 24 месяцев со дня заключения договора лизинга на муниципальных  и межмуниципальных маршрутах регулярных перевозок пассажиров                          и багажа по регу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лируемым тарифам на основании государственных                                       или муниципальных контрактов.</w:t>
      </w:r>
    </w:p>
    <w:p w:rsidR="00CC3724" w:rsidRDefault="00600186">
      <w:pPr>
        <w:pStyle w:val="af5"/>
        <w:numPr>
          <w:ilvl w:val="0"/>
          <w:numId w:val="1"/>
        </w:numPr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Наличие утвержденных комплексных схем организации дорожного движения (КСОДД), комплексных схем организации транспортного обслуживания населени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я общественным транспортом (КСОТ), программ комплексного развития транспортной инфраструктуры (ПКРТИ) или обязательства субъекта Российской Федерации разработать КСОДД, КСОТ, ПКРТИ не позднее двух лет </w:t>
      </w:r>
      <w:proofErr w:type="gramStart"/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с даты подачи</w:t>
      </w:r>
      <w:proofErr w:type="gramEnd"/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настоящей заявки. </w:t>
      </w:r>
    </w:p>
    <w:p w:rsidR="00CC3724" w:rsidRDefault="00600186">
      <w:pPr>
        <w:pStyle w:val="af5"/>
        <w:numPr>
          <w:ilvl w:val="0"/>
          <w:numId w:val="1"/>
        </w:numPr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Применение системы без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наличной оплаты проезда на указанных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br/>
        <w:t>в настоящей заявке маршрутах или обязательство субъекта Российской Федерации обеспечить внедрение системы безналичной оплаты проезда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br/>
        <w:t xml:space="preserve">на указанных в настоящей заявке маршрутах не позднее двух лет </w:t>
      </w:r>
      <w:proofErr w:type="gramStart"/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с даты подачи</w:t>
      </w:r>
      <w:proofErr w:type="gramEnd"/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настоящей 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заявки.</w:t>
      </w:r>
    </w:p>
    <w:p w:rsidR="00A3573B" w:rsidRDefault="00600186" w:rsidP="00A3573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 заявляет следующие маршруты</w:t>
      </w:r>
      <w:r>
        <w:rPr>
          <w:rFonts w:ascii="Times New Roman" w:hAnsi="Times New Roman"/>
          <w:sz w:val="28"/>
          <w:szCs w:val="28"/>
        </w:rPr>
        <w:br/>
      </w:r>
      <w:r w:rsidR="00A3573B">
        <w:rPr>
          <w:rFonts w:ascii="Times New Roman" w:hAnsi="Times New Roman"/>
          <w:sz w:val="20"/>
          <w:szCs w:val="28"/>
        </w:rPr>
        <w:t xml:space="preserve">            (указывается наименование муниципального образования Тверской области)</w:t>
      </w:r>
    </w:p>
    <w:p w:rsidR="00A3573B" w:rsidRDefault="00600186" w:rsidP="00A35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</w:t>
      </w:r>
      <w:r>
        <w:rPr>
          <w:rFonts w:ascii="Times New Roman" w:eastAsia="Calibri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реализации инвестиционного проекта «Приобретение подвижного состава наземного общественного пассаж</w:t>
      </w:r>
      <w:r>
        <w:rPr>
          <w:rFonts w:ascii="Times New Roman" w:hAnsi="Times New Roman" w:cs="Times New Roman"/>
          <w:sz w:val="28"/>
          <w:szCs w:val="28"/>
        </w:rPr>
        <w:t xml:space="preserve">ирского транспорта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последующей </w:t>
      </w:r>
    </w:p>
    <w:p w:rsidR="00A3573B" w:rsidRDefault="00A3573B" w:rsidP="00A35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724" w:rsidRDefault="00600186" w:rsidP="00A3573B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маршрутов регулярных перевозок,</w:t>
      </w:r>
      <w:r>
        <w:rPr>
          <w:rFonts w:ascii="Times New Roman" w:hAnsi="Times New Roman" w:cs="Times New Roman"/>
          <w:sz w:val="28"/>
          <w:szCs w:val="28"/>
        </w:rPr>
        <w:br/>
        <w:t>на которых планируется использовать приобретаемый подвижной состав:</w:t>
      </w:r>
    </w:p>
    <w:tbl>
      <w:tblPr>
        <w:tblW w:w="10200" w:type="dxa"/>
        <w:jc w:val="right"/>
        <w:tblLayout w:type="fixed"/>
        <w:tblLook w:val="04A0" w:firstRow="1" w:lastRow="0" w:firstColumn="1" w:lastColumn="0" w:noHBand="0" w:noVBand="1"/>
      </w:tblPr>
      <w:tblGrid>
        <w:gridCol w:w="563"/>
        <w:gridCol w:w="1843"/>
        <w:gridCol w:w="1277"/>
        <w:gridCol w:w="1699"/>
        <w:gridCol w:w="1700"/>
        <w:gridCol w:w="286"/>
        <w:gridCol w:w="1423"/>
        <w:gridCol w:w="1409"/>
      </w:tblGrid>
      <w:tr w:rsidR="00CC3724" w:rsidTr="00A3573B">
        <w:trPr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24" w:rsidRDefault="00600186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24" w:rsidRDefault="00600186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Наименование муниципального образования ответственных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за организацию перевозок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по маршруту/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маршрутам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24" w:rsidRDefault="00600186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№ маршрута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24" w:rsidRDefault="00600186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Наименование маршрута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24" w:rsidRDefault="00600186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Вид осуществления транспортной работы</w:t>
            </w:r>
          </w:p>
          <w:p w:rsidR="00CC3724" w:rsidRDefault="00600186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 xml:space="preserve">(с перечислением полученной платы </w:t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lastRenderedPageBreak/>
              <w:t>за проезд пассажиров и провоз багажа Заказчику (брутто контракт)/</w:t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br/>
              <w:t>в распоряжении Исполнителя (нетто контракт))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24" w:rsidRDefault="00600186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Класс подвижного состава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24" w:rsidRDefault="00600186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необходимого по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движного состава</w:t>
            </w:r>
          </w:p>
        </w:tc>
      </w:tr>
      <w:tr w:rsidR="00CC3724" w:rsidTr="00A3573B">
        <w:trPr>
          <w:jc w:val="right"/>
        </w:trPr>
        <w:tc>
          <w:tcPr>
            <w:tcW w:w="10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24" w:rsidRDefault="00600186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2024 год</w:t>
            </w:r>
          </w:p>
        </w:tc>
      </w:tr>
      <w:tr w:rsidR="00CC3724" w:rsidTr="00A3573B">
        <w:trPr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24" w:rsidRDefault="00CC3724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24" w:rsidRDefault="00CC3724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24" w:rsidRDefault="00CC3724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24" w:rsidRDefault="00CC3724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24" w:rsidRDefault="00CC3724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24" w:rsidRDefault="00CC3724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24" w:rsidRDefault="00CC3724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CC3724" w:rsidRDefault="00CC3724">
      <w:pPr>
        <w:pStyle w:val="af5"/>
        <w:spacing w:before="12" w:after="1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724" w:rsidRDefault="00600186">
      <w:pPr>
        <w:pStyle w:val="af5"/>
        <w:spacing w:before="57" w:after="57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Контактные данные ответственного за заполнение заявки лица:</w:t>
      </w:r>
    </w:p>
    <w:tbl>
      <w:tblPr>
        <w:tblW w:w="10200" w:type="dxa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0"/>
        <w:gridCol w:w="5610"/>
      </w:tblGrid>
      <w:tr w:rsidR="00CC3724">
        <w:trPr>
          <w:jc w:val="right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24" w:rsidRDefault="006001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ФИО, должность: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24" w:rsidRDefault="00CC372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CC3724">
        <w:trPr>
          <w:jc w:val="right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24" w:rsidRDefault="0060018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Электронная почта, телефонный номер: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724" w:rsidRDefault="00CC372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:rsidR="00CC3724" w:rsidRDefault="00600186">
      <w:pPr>
        <w:pStyle w:val="ConsPlusNormal"/>
        <w:spacing w:before="126" w:after="86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Достоверность информации в настоящей заявке подтверждаю.</w:t>
      </w:r>
    </w:p>
    <w:p w:rsidR="00A3573B" w:rsidRDefault="00A3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724" w:rsidRDefault="00A35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0018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0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0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включения в заявку муниципальных маршрутов):</w:t>
      </w: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2095"/>
        <w:gridCol w:w="941"/>
        <w:gridCol w:w="2518"/>
        <w:gridCol w:w="643"/>
        <w:gridCol w:w="3118"/>
        <w:gridCol w:w="885"/>
      </w:tblGrid>
      <w:tr w:rsidR="00CC3724">
        <w:trPr>
          <w:trHeight w:val="225"/>
        </w:trPr>
        <w:tc>
          <w:tcPr>
            <w:tcW w:w="3035" w:type="dxa"/>
            <w:gridSpan w:val="2"/>
            <w:shd w:val="clear" w:color="auto" w:fill="auto"/>
          </w:tcPr>
          <w:p w:rsidR="00CC3724" w:rsidRDefault="00CC3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C3724" w:rsidRDefault="00CC3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248BB" w:rsidRDefault="008248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C3724" w:rsidRDefault="006001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CC3724" w:rsidRDefault="00CC37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C3724" w:rsidRDefault="00CC37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C3724" w:rsidRDefault="00CC37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C3724" w:rsidRDefault="0060018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3724" w:rsidRDefault="00CC37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C3724" w:rsidRDefault="00CC37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C3724" w:rsidRDefault="00CC37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C3724" w:rsidRDefault="0060018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</w:tc>
      </w:tr>
      <w:tr w:rsidR="00CC3724">
        <w:trPr>
          <w:trHeight w:val="338"/>
        </w:trPr>
        <w:tc>
          <w:tcPr>
            <w:tcW w:w="3035" w:type="dxa"/>
            <w:gridSpan w:val="2"/>
            <w:shd w:val="clear" w:color="auto" w:fill="auto"/>
          </w:tcPr>
          <w:p w:rsidR="00CC3724" w:rsidRDefault="00600186">
            <w:pPr>
              <w:widowControl w:val="0"/>
              <w:spacing w:after="0" w:line="240" w:lineRule="auto"/>
              <w:ind w:right="-1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(наименование должности)*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*</w:t>
            </w:r>
            <w:r>
              <w:rPr>
                <w:rFonts w:ascii="Times New Roman" w:eastAsia="Calibri" w:hAnsi="Times New Roman" w:cs="Times New Roman"/>
                <w:color w:val="000000"/>
              </w:rPr>
              <w:t>*</w:t>
            </w:r>
          </w:p>
        </w:tc>
        <w:tc>
          <w:tcPr>
            <w:tcW w:w="3161" w:type="dxa"/>
            <w:gridSpan w:val="2"/>
            <w:shd w:val="clear" w:color="auto" w:fill="auto"/>
          </w:tcPr>
          <w:p w:rsidR="00CC3724" w:rsidRDefault="0060018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(подпись)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3724" w:rsidRDefault="0060018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(расшифровка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/>
              </w:rPr>
              <w:t xml:space="preserve"> подписи)</w:t>
            </w:r>
          </w:p>
        </w:tc>
      </w:tr>
      <w:tr w:rsidR="00CC3724">
        <w:tc>
          <w:tcPr>
            <w:tcW w:w="2094" w:type="dxa"/>
            <w:shd w:val="clear" w:color="auto" w:fill="auto"/>
          </w:tcPr>
          <w:p w:rsidR="00CC3724" w:rsidRDefault="00CC3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05" w:type="dxa"/>
            <w:gridSpan w:val="5"/>
          </w:tcPr>
          <w:p w:rsidR="00CC3724" w:rsidRDefault="00CC3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3724">
        <w:tc>
          <w:tcPr>
            <w:tcW w:w="2094" w:type="dxa"/>
            <w:shd w:val="clear" w:color="auto" w:fill="auto"/>
          </w:tcPr>
          <w:p w:rsidR="00CC3724" w:rsidRDefault="0060018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М.П.</w:t>
            </w:r>
          </w:p>
          <w:p w:rsidR="00CC3724" w:rsidRDefault="0060018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(при наличии)</w:t>
            </w:r>
          </w:p>
        </w:tc>
        <w:tc>
          <w:tcPr>
            <w:tcW w:w="3459" w:type="dxa"/>
            <w:gridSpan w:val="2"/>
          </w:tcPr>
          <w:p w:rsidR="00CC3724" w:rsidRDefault="00CC37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1" w:type="dxa"/>
            <w:gridSpan w:val="2"/>
          </w:tcPr>
          <w:p w:rsidR="00CC3724" w:rsidRDefault="0060018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«___» ____________20__ г.</w:t>
            </w:r>
          </w:p>
        </w:tc>
        <w:tc>
          <w:tcPr>
            <w:tcW w:w="885" w:type="dxa"/>
          </w:tcPr>
          <w:p w:rsidR="00CC3724" w:rsidRDefault="00CC372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3724" w:rsidRDefault="00CC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724" w:rsidRDefault="00CC372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C3724" w:rsidRDefault="00CC372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C3724" w:rsidRDefault="00CC372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C3724" w:rsidRDefault="00CC372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C3724" w:rsidRDefault="00CC372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C3724" w:rsidRDefault="00CC372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3573B" w:rsidRDefault="00A357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C3724" w:rsidRDefault="00CC372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C3724" w:rsidRDefault="00CC372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C3724" w:rsidRDefault="00CC372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C3724" w:rsidRDefault="00CC372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C3724" w:rsidRDefault="00CC372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C3724" w:rsidRDefault="00CC372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C3724" w:rsidRDefault="00CC372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C3724" w:rsidRDefault="00CC372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C3724" w:rsidRDefault="00CC372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C3724" w:rsidRDefault="00CC372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3573B" w:rsidRDefault="00A357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3573B" w:rsidRDefault="00A357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3573B" w:rsidRDefault="00A357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3573B" w:rsidRDefault="00A357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3573B" w:rsidRDefault="00A357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C3724" w:rsidRDefault="0060018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*</w:t>
      </w:r>
      <w:r>
        <w:rPr>
          <w:rFonts w:ascii="Times New Roman" w:eastAsia="Arial" w:hAnsi="Times New Roman" w:cs="Arial"/>
          <w:szCs w:val="28"/>
          <w:lang w:eastAsia="ru-RU"/>
        </w:rPr>
        <w:t> За исключением данного условия для автобусов малого класса.</w:t>
      </w:r>
    </w:p>
    <w:sectPr w:rsidR="00CC3724">
      <w:headerReference w:type="default" r:id="rId8"/>
      <w:headerReference w:type="first" r:id="rId9"/>
      <w:footerReference w:type="first" r:id="rId10"/>
      <w:pgSz w:w="11906" w:h="16838"/>
      <w:pgMar w:top="1134" w:right="567" w:bottom="874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186" w:rsidRDefault="00600186">
      <w:pPr>
        <w:spacing w:after="0" w:line="240" w:lineRule="auto"/>
      </w:pPr>
      <w:r>
        <w:separator/>
      </w:r>
    </w:p>
  </w:endnote>
  <w:endnote w:type="continuationSeparator" w:id="0">
    <w:p w:rsidR="00600186" w:rsidRDefault="0060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24" w:rsidRDefault="00CC3724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186" w:rsidRDefault="00600186">
      <w:pPr>
        <w:spacing w:after="0" w:line="240" w:lineRule="auto"/>
      </w:pPr>
      <w:r>
        <w:separator/>
      </w:r>
    </w:p>
  </w:footnote>
  <w:footnote w:type="continuationSeparator" w:id="0">
    <w:p w:rsidR="00600186" w:rsidRDefault="0060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24" w:rsidRDefault="00600186">
    <w:pPr>
      <w:pStyle w:val="af7"/>
      <w:jc w:val="center"/>
      <w:rPr>
        <w:rFonts w:ascii="Times New Roman" w:eastAsia="Times New Roman" w:hAnsi="Times New Roman" w:cs="Times New Roman"/>
        <w:sz w:val="24"/>
      </w:rPr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>PAGE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8248BB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CC3724" w:rsidRDefault="00CC3724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24" w:rsidRDefault="00CC372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19C"/>
    <w:multiLevelType w:val="multilevel"/>
    <w:tmpl w:val="CF1C1E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82E23FA"/>
    <w:multiLevelType w:val="multilevel"/>
    <w:tmpl w:val="CD5248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7B54E91"/>
    <w:multiLevelType w:val="multilevel"/>
    <w:tmpl w:val="975644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24"/>
    <w:rsid w:val="00600186"/>
    <w:rsid w:val="00673EF2"/>
    <w:rsid w:val="008248BB"/>
    <w:rsid w:val="00A3573B"/>
    <w:rsid w:val="00CC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Верхний колонтитул Знак"/>
    <w:basedOn w:val="a0"/>
    <w:uiPriority w:val="99"/>
    <w:qFormat/>
  </w:style>
  <w:style w:type="character" w:customStyle="1" w:styleId="a6">
    <w:name w:val="Нижний колонтитул Знак"/>
    <w:basedOn w:val="a0"/>
    <w:uiPriority w:val="99"/>
    <w:qFormat/>
  </w:style>
  <w:style w:type="character" w:customStyle="1" w:styleId="a7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Нумерация строк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2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af3">
    <w:name w:val="TOC Heading"/>
    <w:uiPriority w:val="39"/>
    <w:unhideWhenUsed/>
    <w:qFormat/>
  </w:style>
  <w:style w:type="paragraph" w:styleId="af4">
    <w:name w:val="table of figures"/>
    <w:basedOn w:val="a"/>
    <w:uiPriority w:val="99"/>
    <w:unhideWhenUsed/>
    <w:qFormat/>
    <w:pPr>
      <w:spacing w:after="0"/>
    </w:p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5">
    <w:name w:val="No Spacing"/>
    <w:uiPriority w:val="1"/>
    <w:qFormat/>
  </w:style>
  <w:style w:type="paragraph" w:customStyle="1" w:styleId="af6">
    <w:name w:val="Колонтитул"/>
    <w:basedOn w:val="a"/>
    <w:qFormat/>
  </w:style>
  <w:style w:type="paragraph" w:styleId="af7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a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table" w:styleId="afd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Верхний колонтитул Знак"/>
    <w:basedOn w:val="a0"/>
    <w:uiPriority w:val="99"/>
    <w:qFormat/>
  </w:style>
  <w:style w:type="character" w:customStyle="1" w:styleId="a6">
    <w:name w:val="Нижний колонтитул Знак"/>
    <w:basedOn w:val="a0"/>
    <w:uiPriority w:val="99"/>
    <w:qFormat/>
  </w:style>
  <w:style w:type="character" w:customStyle="1" w:styleId="a7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Нумерация строк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2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af3">
    <w:name w:val="TOC Heading"/>
    <w:uiPriority w:val="39"/>
    <w:unhideWhenUsed/>
    <w:qFormat/>
  </w:style>
  <w:style w:type="paragraph" w:styleId="af4">
    <w:name w:val="table of figures"/>
    <w:basedOn w:val="a"/>
    <w:uiPriority w:val="99"/>
    <w:unhideWhenUsed/>
    <w:qFormat/>
    <w:pPr>
      <w:spacing w:after="0"/>
    </w:p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5">
    <w:name w:val="No Spacing"/>
    <w:uiPriority w:val="1"/>
    <w:qFormat/>
  </w:style>
  <w:style w:type="paragraph" w:customStyle="1" w:styleId="af6">
    <w:name w:val="Колонтитул"/>
    <w:basedOn w:val="a"/>
    <w:qFormat/>
  </w:style>
  <w:style w:type="paragraph" w:styleId="af7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a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table" w:styleId="afd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ASMAP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Анастасин Юрий Викторович</dc:creator>
  <cp:lastModifiedBy>Master7</cp:lastModifiedBy>
  <cp:revision>4</cp:revision>
  <cp:lastPrinted>2024-02-05T06:41:00Z</cp:lastPrinted>
  <dcterms:created xsi:type="dcterms:W3CDTF">2024-02-05T07:33:00Z</dcterms:created>
  <dcterms:modified xsi:type="dcterms:W3CDTF">2024-02-05T07:37:00Z</dcterms:modified>
  <dc:language>ru-RU</dc:language>
</cp:coreProperties>
</file>